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83"/>
        <w:gridCol w:w="5532"/>
      </w:tblGrid>
      <w:tr w:rsidR="005156D9" w:rsidRPr="005156D9" w:rsidTr="005156D9">
        <w:trPr>
          <w:trHeight w:val="288"/>
          <w:jc w:val="center"/>
        </w:trPr>
        <w:tc>
          <w:tcPr>
            <w:tcW w:w="3383" w:type="dxa"/>
            <w:tcBorders>
              <w:top w:val="nil"/>
              <w:left w:val="nil"/>
              <w:bottom w:val="nil"/>
              <w:right w:val="nil"/>
            </w:tcBorders>
            <w:tcMar>
              <w:top w:w="0" w:type="dxa"/>
              <w:left w:w="108" w:type="dxa"/>
              <w:bottom w:w="0" w:type="dxa"/>
              <w:right w:w="108" w:type="dxa"/>
            </w:tcMar>
            <w:hideMark/>
          </w:tcPr>
          <w:p w:rsidR="005156D9" w:rsidRPr="005156D9" w:rsidRDefault="005156D9" w:rsidP="005156D9">
            <w:pPr>
              <w:spacing w:before="120" w:after="0" w:line="240" w:lineRule="auto"/>
              <w:jc w:val="center"/>
              <w:rPr>
                <w:rFonts w:eastAsia="Times New Roman" w:cs="Times New Roman"/>
                <w:szCs w:val="24"/>
                <w:lang w:eastAsia="vi-VN"/>
              </w:rPr>
            </w:pPr>
            <w:r w:rsidRPr="005156D9">
              <w:rPr>
                <w:rFonts w:eastAsia="Times New Roman" w:cs="Times New Roman"/>
                <w:b/>
                <w:bCs/>
                <w:szCs w:val="24"/>
                <w:lang w:eastAsia="vi-VN"/>
              </w:rPr>
              <w:t>BỘ TÀI CHÍNH</w:t>
            </w:r>
            <w:r w:rsidRPr="005156D9">
              <w:rPr>
                <w:rFonts w:eastAsia="Times New Roman" w:cs="Times New Roman"/>
                <w:b/>
                <w:bCs/>
                <w:szCs w:val="24"/>
                <w:lang w:eastAsia="vi-VN"/>
              </w:rPr>
              <w:br/>
              <w:t>-------</w:t>
            </w:r>
          </w:p>
        </w:tc>
        <w:tc>
          <w:tcPr>
            <w:tcW w:w="5532" w:type="dxa"/>
            <w:tcBorders>
              <w:top w:val="nil"/>
              <w:left w:val="nil"/>
              <w:bottom w:val="nil"/>
              <w:right w:val="nil"/>
            </w:tcBorders>
            <w:tcMar>
              <w:top w:w="0" w:type="dxa"/>
              <w:left w:w="108" w:type="dxa"/>
              <w:bottom w:w="0" w:type="dxa"/>
              <w:right w:w="108" w:type="dxa"/>
            </w:tcMar>
            <w:hideMark/>
          </w:tcPr>
          <w:p w:rsidR="005156D9" w:rsidRPr="005156D9" w:rsidRDefault="005156D9" w:rsidP="005156D9">
            <w:pPr>
              <w:spacing w:before="120" w:after="0" w:line="240" w:lineRule="auto"/>
              <w:jc w:val="center"/>
              <w:rPr>
                <w:rFonts w:eastAsia="Times New Roman" w:cs="Times New Roman"/>
                <w:szCs w:val="24"/>
                <w:lang w:eastAsia="vi-VN"/>
              </w:rPr>
            </w:pPr>
            <w:r w:rsidRPr="005156D9">
              <w:rPr>
                <w:rFonts w:eastAsia="Times New Roman" w:cs="Times New Roman"/>
                <w:b/>
                <w:bCs/>
                <w:szCs w:val="24"/>
                <w:lang w:eastAsia="vi-VN"/>
              </w:rPr>
              <w:t>CỘNG HÒA XÃ HỘI CHỦ NGHĨA VIỆT NAM</w:t>
            </w:r>
            <w:r w:rsidRPr="005156D9">
              <w:rPr>
                <w:rFonts w:eastAsia="Times New Roman" w:cs="Times New Roman"/>
                <w:b/>
                <w:bCs/>
                <w:szCs w:val="24"/>
                <w:lang w:eastAsia="vi-VN"/>
              </w:rPr>
              <w:br/>
              <w:t xml:space="preserve">Độc lập - Tự do - Hạnh phúc </w:t>
            </w:r>
            <w:r w:rsidRPr="005156D9">
              <w:rPr>
                <w:rFonts w:eastAsia="Times New Roman" w:cs="Times New Roman"/>
                <w:b/>
                <w:bCs/>
                <w:szCs w:val="24"/>
                <w:lang w:eastAsia="vi-VN"/>
              </w:rPr>
              <w:br/>
              <w:t>---------------</w:t>
            </w:r>
          </w:p>
        </w:tc>
      </w:tr>
      <w:tr w:rsidR="005156D9" w:rsidRPr="005156D9" w:rsidTr="005156D9">
        <w:trPr>
          <w:trHeight w:val="256"/>
          <w:jc w:val="center"/>
        </w:trPr>
        <w:tc>
          <w:tcPr>
            <w:tcW w:w="3383" w:type="dxa"/>
            <w:tcBorders>
              <w:top w:val="nil"/>
              <w:left w:val="nil"/>
              <w:bottom w:val="nil"/>
              <w:right w:val="nil"/>
            </w:tcBorders>
            <w:tcMar>
              <w:top w:w="0" w:type="dxa"/>
              <w:left w:w="108" w:type="dxa"/>
              <w:bottom w:w="0" w:type="dxa"/>
              <w:right w:w="108" w:type="dxa"/>
            </w:tcMar>
            <w:hideMark/>
          </w:tcPr>
          <w:p w:rsidR="005156D9" w:rsidRPr="005156D9" w:rsidRDefault="005156D9" w:rsidP="005156D9">
            <w:pPr>
              <w:spacing w:before="120" w:after="0" w:line="240" w:lineRule="auto"/>
              <w:jc w:val="center"/>
              <w:rPr>
                <w:rFonts w:eastAsia="Times New Roman" w:cs="Times New Roman"/>
                <w:szCs w:val="24"/>
                <w:lang w:eastAsia="vi-VN"/>
              </w:rPr>
            </w:pPr>
            <w:r w:rsidRPr="005156D9">
              <w:rPr>
                <w:rFonts w:eastAsia="Times New Roman" w:cs="Times New Roman"/>
                <w:szCs w:val="24"/>
                <w:lang w:eastAsia="vi-VN"/>
              </w:rPr>
              <w:t>Số: 218/2015/TT-BTC</w:t>
            </w:r>
          </w:p>
        </w:tc>
        <w:tc>
          <w:tcPr>
            <w:tcW w:w="5532" w:type="dxa"/>
            <w:tcBorders>
              <w:top w:val="nil"/>
              <w:left w:val="nil"/>
              <w:bottom w:val="nil"/>
              <w:right w:val="nil"/>
            </w:tcBorders>
            <w:tcMar>
              <w:top w:w="0" w:type="dxa"/>
              <w:left w:w="108" w:type="dxa"/>
              <w:bottom w:w="0" w:type="dxa"/>
              <w:right w:w="108" w:type="dxa"/>
            </w:tcMar>
            <w:hideMark/>
          </w:tcPr>
          <w:p w:rsidR="005156D9" w:rsidRPr="005156D9" w:rsidRDefault="005156D9" w:rsidP="005156D9">
            <w:pPr>
              <w:spacing w:before="120" w:after="0" w:line="240" w:lineRule="auto"/>
              <w:jc w:val="right"/>
              <w:rPr>
                <w:rFonts w:eastAsia="Times New Roman" w:cs="Times New Roman"/>
                <w:szCs w:val="24"/>
                <w:lang w:eastAsia="vi-VN"/>
              </w:rPr>
            </w:pPr>
            <w:r w:rsidRPr="005156D9">
              <w:rPr>
                <w:rFonts w:eastAsia="Times New Roman" w:cs="Times New Roman"/>
                <w:i/>
                <w:iCs/>
                <w:szCs w:val="24"/>
                <w:lang w:eastAsia="vi-VN"/>
              </w:rPr>
              <w:t>Hà Nội, ngày 31 tháng 12 năm 2015</w:t>
            </w:r>
          </w:p>
        </w:tc>
      </w:tr>
    </w:tbl>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w:t>
      </w:r>
    </w:p>
    <w:p w:rsidR="005156D9" w:rsidRPr="005156D9" w:rsidRDefault="005156D9" w:rsidP="005156D9">
      <w:pPr>
        <w:spacing w:before="120" w:after="100" w:afterAutospacing="1" w:line="240" w:lineRule="auto"/>
        <w:jc w:val="center"/>
        <w:rPr>
          <w:rFonts w:eastAsia="Times New Roman" w:cs="Times New Roman"/>
          <w:szCs w:val="24"/>
          <w:lang w:eastAsia="vi-VN"/>
        </w:rPr>
      </w:pPr>
      <w:bookmarkStart w:id="0" w:name="loai_1"/>
      <w:r w:rsidRPr="005156D9">
        <w:rPr>
          <w:rFonts w:eastAsia="Times New Roman" w:cs="Times New Roman"/>
          <w:b/>
          <w:bCs/>
          <w:szCs w:val="24"/>
          <w:lang w:eastAsia="vi-VN"/>
        </w:rPr>
        <w:t>THÔNG TƯ</w:t>
      </w:r>
      <w:bookmarkEnd w:id="0"/>
    </w:p>
    <w:p w:rsidR="005156D9" w:rsidRPr="005156D9" w:rsidRDefault="005156D9" w:rsidP="005156D9">
      <w:pPr>
        <w:spacing w:before="120" w:after="100" w:afterAutospacing="1" w:line="240" w:lineRule="auto"/>
        <w:jc w:val="center"/>
        <w:rPr>
          <w:rFonts w:eastAsia="Times New Roman" w:cs="Times New Roman"/>
          <w:szCs w:val="24"/>
          <w:lang w:eastAsia="vi-VN"/>
        </w:rPr>
      </w:pPr>
      <w:bookmarkStart w:id="1" w:name="loai_1_name"/>
      <w:r w:rsidRPr="005156D9">
        <w:rPr>
          <w:rFonts w:eastAsia="Times New Roman" w:cs="Times New Roman"/>
          <w:szCs w:val="24"/>
          <w:lang w:eastAsia="vi-VN"/>
        </w:rPr>
        <w:t>HƯỚNG DẪN CHÍNH SÁCH VÀ QUẢN LÝ THUẾ ĐỐI VỚI THƯƠNG NHÂN THỰC HIỆN HOẠT ĐỘNG MUA BÁN, TRAO ĐỔI HÀNG HÓA TẠI CHỢ BIÊN GIỚI, CHỢ CỬA KHẨU, CHỢ TRONG KHU KINH TẾ CỬA KHẨU THEO QUYẾT ĐỊNH SỐ 52/2015/QĐ-TTG NGÀY 20/10/2015 CỦA THỦ TƯỚNG CHÍNH PHỦ.</w:t>
      </w:r>
      <w:bookmarkEnd w:id="1"/>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Căn cứ Luật Quản lý thuế số 78/2006/QH10 ngày 29/11/2006; Luật sửa đổi, bổ sung một số điều của Luật Quản lý thuế số 21/2012/QH13 ngày 20/11/2012; Luật sửa đổi, bổ sung một số điều của các Luật về thuế số 71/2014/QH13 ngày 26/11/2014;</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 xml:space="preserve">Căn cứ </w:t>
      </w:r>
      <w:r w:rsidRPr="005156D9">
        <w:rPr>
          <w:rFonts w:eastAsia="Times New Roman" w:cs="Times New Roman"/>
          <w:i/>
          <w:iCs/>
          <w:szCs w:val="24"/>
          <w:shd w:val="solid" w:color="FFFFFF" w:fill="auto"/>
          <w:lang w:eastAsia="vi-VN"/>
        </w:rPr>
        <w:t>Nghị định số</w:t>
      </w:r>
      <w:r w:rsidRPr="005156D9">
        <w:rPr>
          <w:rFonts w:eastAsia="Times New Roman" w:cs="Times New Roman"/>
          <w:i/>
          <w:iCs/>
          <w:szCs w:val="24"/>
          <w:lang w:eastAsia="vi-VN"/>
        </w:rPr>
        <w:t xml:space="preserve"> 51/2010/NĐ-CP ngày 14/5/2010 và </w:t>
      </w:r>
      <w:r w:rsidRPr="005156D9">
        <w:rPr>
          <w:rFonts w:eastAsia="Times New Roman" w:cs="Times New Roman"/>
          <w:i/>
          <w:iCs/>
          <w:szCs w:val="24"/>
          <w:shd w:val="solid" w:color="FFFFFF" w:fill="auto"/>
          <w:lang w:eastAsia="vi-VN"/>
        </w:rPr>
        <w:t>Nghị định số</w:t>
      </w:r>
      <w:r w:rsidRPr="005156D9">
        <w:rPr>
          <w:rFonts w:eastAsia="Times New Roman" w:cs="Times New Roman"/>
          <w:i/>
          <w:iCs/>
          <w:szCs w:val="24"/>
          <w:lang w:eastAsia="vi-VN"/>
        </w:rPr>
        <w:t xml:space="preserve"> 04/2014/NĐ-CP ngày 17/01/2014 của Chính phủ quy định về hóa đơn bán hàng hóa, cung ứng dịch vụ;</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Căn cứ Luật Thương mại số 36/2005/QH11 ngày 14/6/2005;</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 xml:space="preserve">Căn cứ </w:t>
      </w:r>
      <w:r w:rsidRPr="005156D9">
        <w:rPr>
          <w:rFonts w:eastAsia="Times New Roman" w:cs="Times New Roman"/>
          <w:i/>
          <w:iCs/>
          <w:szCs w:val="24"/>
          <w:shd w:val="solid" w:color="FFFFFF" w:fill="auto"/>
          <w:lang w:eastAsia="vi-VN"/>
        </w:rPr>
        <w:t>Nghị định số</w:t>
      </w:r>
      <w:r w:rsidRPr="005156D9">
        <w:rPr>
          <w:rFonts w:eastAsia="Times New Roman" w:cs="Times New Roman"/>
          <w:i/>
          <w:iCs/>
          <w:szCs w:val="24"/>
          <w:lang w:eastAsia="vi-VN"/>
        </w:rPr>
        <w:t xml:space="preserve"> 12/2015/NĐ-CP ngày 12/02/2015 của </w:t>
      </w:r>
      <w:r w:rsidRPr="005156D9">
        <w:rPr>
          <w:rFonts w:eastAsia="Times New Roman" w:cs="Times New Roman"/>
          <w:i/>
          <w:iCs/>
          <w:szCs w:val="24"/>
          <w:shd w:val="solid" w:color="FFFFFF" w:fill="auto"/>
          <w:lang w:eastAsia="vi-VN"/>
        </w:rPr>
        <w:t>Chính phủ</w:t>
      </w:r>
      <w:r w:rsidRPr="005156D9">
        <w:rPr>
          <w:rFonts w:eastAsia="Times New Roman" w:cs="Times New Roman"/>
          <w:i/>
          <w:iCs/>
          <w:szCs w:val="24"/>
          <w:lang w:eastAsia="vi-VN"/>
        </w:rPr>
        <w:t xml:space="preserve"> quy định chi tiết thi hành Luật sửa đổi, bổ sung một số điều của các Luật về thuế và sửa đổi, </w:t>
      </w:r>
      <w:r w:rsidRPr="005156D9">
        <w:rPr>
          <w:rFonts w:eastAsia="Times New Roman" w:cs="Times New Roman"/>
          <w:i/>
          <w:iCs/>
          <w:szCs w:val="24"/>
          <w:shd w:val="solid" w:color="FFFFFF" w:fill="auto"/>
          <w:lang w:eastAsia="vi-VN"/>
        </w:rPr>
        <w:t>bổ sung</w:t>
      </w:r>
      <w:r w:rsidRPr="005156D9">
        <w:rPr>
          <w:rFonts w:eastAsia="Times New Roman" w:cs="Times New Roman"/>
          <w:i/>
          <w:iCs/>
          <w:szCs w:val="24"/>
          <w:lang w:eastAsia="vi-VN"/>
        </w:rPr>
        <w:t xml:space="preserve"> một số Điều của các Nghị định về thuế;</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 xml:space="preserve">Căn cứ </w:t>
      </w:r>
      <w:r w:rsidRPr="005156D9">
        <w:rPr>
          <w:rFonts w:eastAsia="Times New Roman" w:cs="Times New Roman"/>
          <w:i/>
          <w:iCs/>
          <w:szCs w:val="24"/>
          <w:shd w:val="solid" w:color="FFFFFF" w:fill="auto"/>
          <w:lang w:eastAsia="vi-VN"/>
        </w:rPr>
        <w:t>Nghị định số</w:t>
      </w:r>
      <w:r w:rsidRPr="005156D9">
        <w:rPr>
          <w:rFonts w:eastAsia="Times New Roman" w:cs="Times New Roman"/>
          <w:i/>
          <w:iCs/>
          <w:szCs w:val="24"/>
          <w:lang w:eastAsia="vi-VN"/>
        </w:rPr>
        <w:t xml:space="preserve"> 187/2013/NĐ-CP ngày 20/11/2013 của Chính phủ quy định chi tiết thi hành Luật Thương mại về hoạt động mua bán hàng </w:t>
      </w:r>
      <w:r w:rsidRPr="005156D9">
        <w:rPr>
          <w:rFonts w:eastAsia="Times New Roman" w:cs="Times New Roman"/>
          <w:i/>
          <w:iCs/>
          <w:szCs w:val="24"/>
          <w:shd w:val="solid" w:color="FFFFFF" w:fill="auto"/>
          <w:lang w:eastAsia="vi-VN"/>
        </w:rPr>
        <w:t>hóa</w:t>
      </w:r>
      <w:r w:rsidRPr="005156D9">
        <w:rPr>
          <w:rFonts w:eastAsia="Times New Roman" w:cs="Times New Roman"/>
          <w:i/>
          <w:iCs/>
          <w:szCs w:val="24"/>
          <w:lang w:eastAsia="vi-VN"/>
        </w:rPr>
        <w:t xml:space="preserve"> quốc tế và các hoạt động đại lý mua, bán, gia công và quá cảnh hàng hóa với nước ngoài;</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Căn cứ Quyết định số 52/2015/QĐ-TTg ngày 20/10/2015 của Thủ tướng Chính phủ về quản lý hoạt động Th</w:t>
      </w:r>
      <w:r w:rsidRPr="005156D9">
        <w:rPr>
          <w:rFonts w:eastAsia="Times New Roman" w:cs="Times New Roman"/>
          <w:i/>
          <w:iCs/>
          <w:szCs w:val="24"/>
          <w:shd w:val="solid" w:color="FFFFFF" w:fill="auto"/>
          <w:lang w:eastAsia="vi-VN"/>
        </w:rPr>
        <w:t>ươ</w:t>
      </w:r>
      <w:r w:rsidRPr="005156D9">
        <w:rPr>
          <w:rFonts w:eastAsia="Times New Roman" w:cs="Times New Roman"/>
          <w:i/>
          <w:iCs/>
          <w:szCs w:val="24"/>
          <w:lang w:eastAsia="vi-VN"/>
        </w:rPr>
        <w:t>ng mại biên giới với các nước có chung biên giới;</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 xml:space="preserve">Xét đề nghị của </w:t>
      </w:r>
      <w:r w:rsidRPr="005156D9">
        <w:rPr>
          <w:rFonts w:eastAsia="Times New Roman" w:cs="Times New Roman"/>
          <w:i/>
          <w:iCs/>
          <w:szCs w:val="24"/>
          <w:shd w:val="solid" w:color="FFFFFF" w:fill="auto"/>
          <w:lang w:eastAsia="vi-VN"/>
        </w:rPr>
        <w:t>Tổng</w:t>
      </w:r>
      <w:r w:rsidRPr="005156D9">
        <w:rPr>
          <w:rFonts w:eastAsia="Times New Roman" w:cs="Times New Roman"/>
          <w:i/>
          <w:iCs/>
          <w:szCs w:val="24"/>
          <w:lang w:eastAsia="vi-VN"/>
        </w:rPr>
        <w:t xml:space="preserve"> cục trưởng Tổng cục Thuế,</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i/>
          <w:iCs/>
          <w:szCs w:val="24"/>
          <w:lang w:eastAsia="vi-VN"/>
        </w:rPr>
        <w:t xml:space="preserve">Bộ trưởng Bộ Tài chính ban hành Thông tư quy định về chính sách và quản lý thuế đối với thương nhân thực hiện hoạt động mua bán; trao đổi hàng </w:t>
      </w:r>
      <w:r w:rsidRPr="005156D9">
        <w:rPr>
          <w:rFonts w:eastAsia="Times New Roman" w:cs="Times New Roman"/>
          <w:i/>
          <w:iCs/>
          <w:szCs w:val="24"/>
          <w:shd w:val="solid" w:color="FFFFFF" w:fill="auto"/>
          <w:lang w:eastAsia="vi-VN"/>
        </w:rPr>
        <w:t>hóa</w:t>
      </w:r>
      <w:r w:rsidRPr="005156D9">
        <w:rPr>
          <w:rFonts w:eastAsia="Times New Roman" w:cs="Times New Roman"/>
          <w:i/>
          <w:iCs/>
          <w:szCs w:val="24"/>
          <w:lang w:eastAsia="vi-VN"/>
        </w:rPr>
        <w:t xml:space="preserve"> tại chợ biên giới, chợ cửa khẩu, chợ trong Khu kinh tế cửa khẩu như sau:</w:t>
      </w:r>
    </w:p>
    <w:p w:rsidR="005156D9" w:rsidRPr="005156D9" w:rsidRDefault="005156D9" w:rsidP="005156D9">
      <w:pPr>
        <w:spacing w:before="120" w:after="100" w:afterAutospacing="1" w:line="240" w:lineRule="auto"/>
        <w:rPr>
          <w:rFonts w:eastAsia="Times New Roman" w:cs="Times New Roman"/>
          <w:szCs w:val="24"/>
          <w:lang w:val="en-US" w:eastAsia="vi-VN"/>
        </w:rPr>
      </w:pPr>
      <w:bookmarkStart w:id="2" w:name="chuong_1"/>
      <w:r w:rsidRPr="005156D9">
        <w:rPr>
          <w:rFonts w:eastAsia="Times New Roman" w:cs="Times New Roman"/>
          <w:b/>
          <w:bCs/>
          <w:szCs w:val="24"/>
          <w:lang w:eastAsia="vi-VN"/>
        </w:rPr>
        <w:t>Phần I</w:t>
      </w:r>
      <w:bookmarkEnd w:id="2"/>
    </w:p>
    <w:p w:rsidR="005156D9" w:rsidRPr="005156D9" w:rsidRDefault="005156D9" w:rsidP="005156D9">
      <w:pPr>
        <w:spacing w:before="120" w:after="100" w:afterAutospacing="1" w:line="240" w:lineRule="auto"/>
        <w:jc w:val="center"/>
        <w:rPr>
          <w:rFonts w:eastAsia="Times New Roman" w:cs="Times New Roman"/>
          <w:szCs w:val="24"/>
          <w:lang w:val="en-US" w:eastAsia="vi-VN"/>
        </w:rPr>
      </w:pPr>
      <w:bookmarkStart w:id="3" w:name="chuong_1_name"/>
      <w:r w:rsidRPr="005156D9">
        <w:rPr>
          <w:rFonts w:eastAsia="Times New Roman" w:cs="Times New Roman"/>
          <w:b/>
          <w:bCs/>
          <w:szCs w:val="24"/>
          <w:lang w:eastAsia="vi-VN"/>
        </w:rPr>
        <w:t>HƯỚNG DẪN CHUNG</w:t>
      </w:r>
      <w:bookmarkEnd w:id="3"/>
    </w:p>
    <w:p w:rsidR="005156D9" w:rsidRPr="005156D9" w:rsidRDefault="005156D9" w:rsidP="005156D9">
      <w:pPr>
        <w:spacing w:before="120" w:after="100" w:afterAutospacing="1" w:line="240" w:lineRule="auto"/>
        <w:rPr>
          <w:rFonts w:eastAsia="Times New Roman" w:cs="Times New Roman"/>
          <w:szCs w:val="24"/>
          <w:lang w:eastAsia="vi-VN"/>
        </w:rPr>
      </w:pPr>
      <w:bookmarkStart w:id="4" w:name="dieu_1"/>
      <w:r w:rsidRPr="005156D9">
        <w:rPr>
          <w:rFonts w:eastAsia="Times New Roman" w:cs="Times New Roman"/>
          <w:b/>
          <w:bCs/>
          <w:szCs w:val="24"/>
          <w:lang w:eastAsia="vi-VN"/>
        </w:rPr>
        <w:t>Điều 1. Phạm vi điều chỉnh</w:t>
      </w:r>
      <w:bookmarkEnd w:id="4"/>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lastRenderedPageBreak/>
        <w:t xml:space="preserve">Thông tư này hướng dẫn về chính sách và quản lý thuế đối với thương nhân thực hiện hoạt động mua bán, trao đổi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tại chợ biên giới, chợ cửa khẩu, chợ trong Khu kinh tế cửa khẩu.</w:t>
      </w:r>
    </w:p>
    <w:p w:rsidR="005156D9" w:rsidRPr="005156D9" w:rsidRDefault="005156D9" w:rsidP="005156D9">
      <w:pPr>
        <w:spacing w:before="120" w:after="100" w:afterAutospacing="1" w:line="240" w:lineRule="auto"/>
        <w:rPr>
          <w:rFonts w:eastAsia="Times New Roman" w:cs="Times New Roman"/>
          <w:szCs w:val="24"/>
          <w:lang w:eastAsia="vi-VN"/>
        </w:rPr>
      </w:pPr>
      <w:bookmarkStart w:id="5" w:name="dieu_2"/>
      <w:r w:rsidRPr="005156D9">
        <w:rPr>
          <w:rFonts w:eastAsia="Times New Roman" w:cs="Times New Roman"/>
          <w:b/>
          <w:bCs/>
          <w:szCs w:val="24"/>
          <w:lang w:eastAsia="vi-VN"/>
        </w:rPr>
        <w:t xml:space="preserve">Điều 2. Đối tượng </w:t>
      </w:r>
      <w:r w:rsidRPr="005156D9">
        <w:rPr>
          <w:rFonts w:eastAsia="Times New Roman" w:cs="Times New Roman"/>
          <w:b/>
          <w:bCs/>
          <w:szCs w:val="24"/>
          <w:shd w:val="solid" w:color="FFFFFF" w:fill="auto"/>
          <w:lang w:eastAsia="vi-VN"/>
        </w:rPr>
        <w:t>áp dụng</w:t>
      </w:r>
      <w:bookmarkEnd w:id="5"/>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1. Thương nhân thực hiện hoạt động mua bán, trao đổi hàng hóa tại chợ biên giới, chợ cửa khẩu, chợ trong Khu kinh tế cửa khẩu theo quy định tại </w:t>
      </w:r>
      <w:bookmarkStart w:id="6" w:name="dc_6"/>
      <w:r w:rsidRPr="005156D9">
        <w:rPr>
          <w:rFonts w:eastAsia="Times New Roman" w:cs="Times New Roman"/>
          <w:szCs w:val="24"/>
          <w:lang w:eastAsia="vi-VN"/>
        </w:rPr>
        <w:t>Điều 18 Quyết định số 52/2015/QĐ-TTg</w:t>
      </w:r>
      <w:bookmarkEnd w:id="6"/>
      <w:r w:rsidRPr="005156D9">
        <w:rPr>
          <w:rFonts w:eastAsia="Times New Roman" w:cs="Times New Roman"/>
          <w:szCs w:val="24"/>
          <w:lang w:eastAsia="vi-VN"/>
        </w:rPr>
        <w:t xml:space="preserve"> ngày 20/10/2015 của Thủ tướng Chính phủ bao gồm:</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Thương nhân là cá nhân kinh doanh mang quốc tịch Việt Nam và có hộ khẩu th</w:t>
      </w:r>
      <w:r w:rsidRPr="005156D9">
        <w:rPr>
          <w:rFonts w:eastAsia="Times New Roman" w:cs="Times New Roman"/>
          <w:szCs w:val="24"/>
          <w:shd w:val="solid" w:color="FFFFFF" w:fill="auto"/>
          <w:lang w:eastAsia="vi-VN"/>
        </w:rPr>
        <w:t>ườ</w:t>
      </w:r>
      <w:r w:rsidRPr="005156D9">
        <w:rPr>
          <w:rFonts w:eastAsia="Times New Roman" w:cs="Times New Roman"/>
          <w:szCs w:val="24"/>
          <w:lang w:eastAsia="vi-VN"/>
        </w:rPr>
        <w:t>ng trú tại khu vực biên giới.</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Thương nhân là doanh nghiệp Việt Nam và hộ kinh doanh được thành lập, đăng ký theo quy định của pháp luật về đăng ký kinh doanh.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Thương nhân là cá nhân kinh doanh mang quốc tịch của nước có chung biên giới, có một trong các giấy tờ có giá trị sử dụng như sau: Giấy Chứng minh thư biên giới, Giấy Thông hành xuất nhập cảnh vùng biên giới, Hộ chiếu hoặc giấy tờ có giá trị xuất nhập cảnh khác được cấp theo quy định của pháp luật của nước có chung biên giới và được cơ quan có thẩm quyền của Việt Nam cấp Giấy chứng nhận đăng ký kinh doanh theo quy định.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Thương nhân là doanh nghiệp, hộ kinh doanh của nước có chung biên giới đã được cấp Giấy chứng nhận đăng ký kinh doanh theo quy định của pháp luật của nước có chung biên giới.</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2. Cơ quan thuế, cơ quan hải quan và các cơ quan, tổ chức, cá nhân có liên quan.</w:t>
      </w:r>
    </w:p>
    <w:p w:rsidR="005156D9" w:rsidRPr="005156D9" w:rsidRDefault="005156D9" w:rsidP="005156D9">
      <w:pPr>
        <w:spacing w:before="120" w:after="100" w:afterAutospacing="1" w:line="240" w:lineRule="auto"/>
        <w:rPr>
          <w:rFonts w:eastAsia="Times New Roman" w:cs="Times New Roman"/>
          <w:szCs w:val="24"/>
          <w:lang w:eastAsia="vi-VN"/>
        </w:rPr>
      </w:pPr>
      <w:bookmarkStart w:id="7" w:name="chuong_2"/>
      <w:r w:rsidRPr="005156D9">
        <w:rPr>
          <w:rFonts w:eastAsia="Times New Roman" w:cs="Times New Roman"/>
          <w:b/>
          <w:bCs/>
          <w:szCs w:val="24"/>
          <w:lang w:eastAsia="vi-VN"/>
        </w:rPr>
        <w:t>Phần II</w:t>
      </w:r>
      <w:bookmarkEnd w:id="7"/>
    </w:p>
    <w:p w:rsidR="005156D9" w:rsidRPr="005156D9" w:rsidRDefault="005156D9" w:rsidP="005156D9">
      <w:pPr>
        <w:spacing w:before="120" w:after="100" w:afterAutospacing="1" w:line="240" w:lineRule="auto"/>
        <w:jc w:val="center"/>
        <w:rPr>
          <w:rFonts w:eastAsia="Times New Roman" w:cs="Times New Roman"/>
          <w:szCs w:val="24"/>
          <w:lang w:eastAsia="vi-VN"/>
        </w:rPr>
      </w:pPr>
      <w:bookmarkStart w:id="8" w:name="chuong_2_name"/>
      <w:r w:rsidRPr="005156D9">
        <w:rPr>
          <w:rFonts w:eastAsia="Times New Roman" w:cs="Times New Roman"/>
          <w:b/>
          <w:bCs/>
          <w:szCs w:val="24"/>
          <w:lang w:eastAsia="vi-VN"/>
        </w:rPr>
        <w:t>CHÍNH SÁCH, SỬ DỤNG HÓA ĐƠN VÀ QUẢN LÝ THUẾ ĐỐI VỚI THƯƠNG NHÂN HOẠT ĐỘNG MUA BÁN, TRAO ĐỔI HÀNG HÓA TẠI CHỢ BIÊN GIỚI, CHỢ CỬA KHẨU, CHỢ TRONG KHU KINH TẾ CỬA KHẨU</w:t>
      </w:r>
      <w:bookmarkEnd w:id="8"/>
    </w:p>
    <w:p w:rsidR="005156D9" w:rsidRPr="005156D9" w:rsidRDefault="005156D9" w:rsidP="005156D9">
      <w:pPr>
        <w:spacing w:before="120" w:after="100" w:afterAutospacing="1" w:line="240" w:lineRule="auto"/>
        <w:rPr>
          <w:rFonts w:eastAsia="Times New Roman" w:cs="Times New Roman"/>
          <w:szCs w:val="24"/>
          <w:lang w:eastAsia="vi-VN"/>
        </w:rPr>
      </w:pPr>
      <w:bookmarkStart w:id="9" w:name="dieu_3"/>
      <w:r w:rsidRPr="005156D9">
        <w:rPr>
          <w:rFonts w:eastAsia="Times New Roman" w:cs="Times New Roman"/>
          <w:b/>
          <w:bCs/>
          <w:szCs w:val="24"/>
          <w:lang w:eastAsia="vi-VN"/>
        </w:rPr>
        <w:t>Điều 3. Chính sách thuế đối với tổ chức, cá nhân kinh doanh</w:t>
      </w:r>
      <w:bookmarkEnd w:id="9"/>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1. Thương nhân thực hiện hoạt động mua bán, trao đổi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tại chợ biên giới, chợ cửa khẩu, chợ trong Khu kinh tế cửa khẩu thực hiện nộp thuế giá trị gia tăng, thuế thu nhập doanh nghiệp, thuế thu nhập cá nhân và các loại thuế, phí và lệ phí khác theo quy định của pháp luật thuế hiện hành.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2. Thương nhân thực hiện hoạt động mua bán, trao đổi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tại chợ biên giới, chợ cửa khẩu, chợ trong Khu kinh tế cửa khẩu phải có đủ tài liệu chứng minh nguồn gốc hàng hóa trước khi xuất bán đảm bảo hàng hóa nhập khẩu đã được nộp đủ các loại thuế ở khâu nhập khẩu theo quy định, cụ thể:</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Trường hợp hàng hóa mua gom của cư dân biên giới thì thương nhân phải có đủ tài liệu theo quy định tại Quyết định số 52/2015/QĐ-TTg ngày 20/10/2015 của Thủ tướng Chính phủ và hướng dẫn của Bộ Tài chính để chứng minh hàng hóa thu mua gom đã hoàn thành thủ tục hải quan, nộp đầy đủ thuế và các nghĩa vụ khác theo quy định.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lastRenderedPageBreak/>
        <w:t>- Trường hợp hàng hóa do thương nhân trực tiếp nhập khẩu thì phải có đủ tài liệu theo quy định của Luật hải quan và hướng dẫn của Bộ Tài chính.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Trường hợp hàng hóa mua lại từ các tổ chức, cá nhân kinh doanh khác thì phải có hóa đơn do tổ chức, cá nhân bán hàng xuất bán theo quy định của pháp luật về hóa đơn.</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3. Hàng hóa xuất khẩu dưới hình thức mua bán hàng hóa qua biên giới của thương nhân </w:t>
      </w:r>
      <w:r w:rsidRPr="005156D9">
        <w:rPr>
          <w:rFonts w:eastAsia="Times New Roman" w:cs="Times New Roman"/>
          <w:szCs w:val="24"/>
          <w:shd w:val="solid" w:color="FFFFFF" w:fill="auto"/>
          <w:lang w:eastAsia="vi-VN"/>
        </w:rPr>
        <w:t>là</w:t>
      </w:r>
      <w:r w:rsidRPr="005156D9">
        <w:rPr>
          <w:rFonts w:eastAsia="Times New Roman" w:cs="Times New Roman"/>
          <w:szCs w:val="24"/>
          <w:lang w:eastAsia="vi-VN"/>
        </w:rPr>
        <w:t xml:space="preserve"> doanh nghiệp được hoàn thuế giá trị gia tăng nếu đáp ứng các </w:t>
      </w:r>
      <w:r w:rsidRPr="005156D9">
        <w:rPr>
          <w:rFonts w:eastAsia="Times New Roman" w:cs="Times New Roman"/>
          <w:szCs w:val="24"/>
          <w:shd w:val="solid" w:color="FFFFFF" w:fill="auto"/>
          <w:lang w:eastAsia="vi-VN"/>
        </w:rPr>
        <w:t>điều kiện</w:t>
      </w:r>
      <w:r w:rsidRPr="005156D9">
        <w:rPr>
          <w:rFonts w:eastAsia="Times New Roman" w:cs="Times New Roman"/>
          <w:szCs w:val="24"/>
          <w:lang w:eastAsia="vi-VN"/>
        </w:rPr>
        <w:t xml:space="preserve"> theo </w:t>
      </w:r>
      <w:r w:rsidRPr="005156D9">
        <w:rPr>
          <w:rFonts w:eastAsia="Times New Roman" w:cs="Times New Roman"/>
          <w:szCs w:val="24"/>
          <w:shd w:val="solid" w:color="FFFFFF" w:fill="auto"/>
          <w:lang w:eastAsia="vi-VN"/>
        </w:rPr>
        <w:t>quy định</w:t>
      </w:r>
      <w:r w:rsidRPr="005156D9">
        <w:rPr>
          <w:rFonts w:eastAsia="Times New Roman" w:cs="Times New Roman"/>
          <w:szCs w:val="24"/>
          <w:lang w:eastAsia="vi-VN"/>
        </w:rPr>
        <w:t xml:space="preserve"> của pháp luật </w:t>
      </w:r>
      <w:r w:rsidRPr="005156D9">
        <w:rPr>
          <w:rFonts w:eastAsia="Times New Roman" w:cs="Times New Roman"/>
          <w:szCs w:val="24"/>
          <w:shd w:val="solid" w:color="FFFFFF" w:fill="auto"/>
          <w:lang w:eastAsia="vi-VN"/>
        </w:rPr>
        <w:t>về</w:t>
      </w:r>
      <w:r w:rsidRPr="005156D9">
        <w:rPr>
          <w:rFonts w:eastAsia="Times New Roman" w:cs="Times New Roman"/>
          <w:szCs w:val="24"/>
          <w:lang w:eastAsia="vi-VN"/>
        </w:rPr>
        <w:t xml:space="preserve"> thuế giá trị gia tăng hiện hành.</w:t>
      </w:r>
    </w:p>
    <w:p w:rsidR="005156D9" w:rsidRPr="005156D9" w:rsidRDefault="005156D9" w:rsidP="005156D9">
      <w:pPr>
        <w:spacing w:before="120" w:after="100" w:afterAutospacing="1" w:line="240" w:lineRule="auto"/>
        <w:rPr>
          <w:rFonts w:eastAsia="Times New Roman" w:cs="Times New Roman"/>
          <w:szCs w:val="24"/>
          <w:lang w:eastAsia="vi-VN"/>
        </w:rPr>
      </w:pPr>
      <w:bookmarkStart w:id="10" w:name="dieu_4"/>
      <w:r w:rsidRPr="005156D9">
        <w:rPr>
          <w:rFonts w:eastAsia="Times New Roman" w:cs="Times New Roman"/>
          <w:b/>
          <w:bCs/>
          <w:szCs w:val="24"/>
          <w:lang w:eastAsia="vi-VN"/>
        </w:rPr>
        <w:t xml:space="preserve">Điều 4. Sử dụng </w:t>
      </w:r>
      <w:r w:rsidRPr="005156D9">
        <w:rPr>
          <w:rFonts w:eastAsia="Times New Roman" w:cs="Times New Roman"/>
          <w:b/>
          <w:bCs/>
          <w:szCs w:val="24"/>
          <w:shd w:val="solid" w:color="FFFFFF" w:fill="auto"/>
          <w:lang w:eastAsia="vi-VN"/>
        </w:rPr>
        <w:t>hóa</w:t>
      </w:r>
      <w:r w:rsidRPr="005156D9">
        <w:rPr>
          <w:rFonts w:eastAsia="Times New Roman" w:cs="Times New Roman"/>
          <w:b/>
          <w:bCs/>
          <w:szCs w:val="24"/>
          <w:lang w:eastAsia="vi-VN"/>
        </w:rPr>
        <w:t xml:space="preserve"> đơn</w:t>
      </w:r>
      <w:bookmarkEnd w:id="10"/>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1. Thương nhân thực hiện hoạt động mua bán, trao đổi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tại chợ biên giới, chợ cửa khẩu, chợ trong Khu kinh tế cửa khẩu phải sử dụng hóa đơn theo quy định. Khi bán hàng hóa có giá trị từ 200.000 đồng trở lên mỗi lần thì phải xuất hóa đơn giao cho người mua và phải chịu trách nhiệm về nguồn gốc hàng hóa. Trường hợp khi bán hàng hóa từ 200.000 đồng trở lên mỗi lần, người mua không lấy hóa đơn hoặc không cung </w:t>
      </w:r>
      <w:r w:rsidRPr="005156D9">
        <w:rPr>
          <w:rFonts w:eastAsia="Times New Roman" w:cs="Times New Roman"/>
          <w:szCs w:val="24"/>
          <w:shd w:val="solid" w:color="FFFFFF" w:fill="auto"/>
          <w:lang w:eastAsia="vi-VN"/>
        </w:rPr>
        <w:t>cấp</w:t>
      </w:r>
      <w:r w:rsidRPr="005156D9">
        <w:rPr>
          <w:rFonts w:eastAsia="Times New Roman" w:cs="Times New Roman"/>
          <w:szCs w:val="24"/>
          <w:lang w:eastAsia="vi-VN"/>
        </w:rPr>
        <w:t xml:space="preserve"> tên, địa chỉ, mã số thuế (nếu có) thì vẫn phải lập hóa đơn và ghi rõ “người mua không lấy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đơn” hoặc “người mua không cung cấp tên, địa chỉ, mã số thuế”.</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Ngày lập hóa đơn đối với bán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là thời điểm chuyển giao quyền sở hữu hoặc quyền sử dụng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cho người mua, không phân biệt đã thu được tiền hay chưa thu được tiền.</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2. Đối với thương nhân là hộ, cá nhân kinh doanh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Hộ, cá nhân kinh doanh tại khu vực biên giới, khu vực cửa khẩu, trong khu kinh tế cửa khẩu phải lưu giữ đủ tài liệu chứng minh nguồn gốc hàng hóa theo hướng dẫn tại Khoản 2 Điều 3 Thông tư này.</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Hàng tháng, hộ, cá nhân kinh doanh thực hiện kê khai doanh thu theo hóa đơn vào Báo cáo </w:t>
      </w:r>
      <w:r w:rsidRPr="005156D9">
        <w:rPr>
          <w:rFonts w:eastAsia="Times New Roman" w:cs="Times New Roman"/>
          <w:szCs w:val="24"/>
          <w:shd w:val="solid" w:color="FFFFFF" w:fill="auto"/>
          <w:lang w:eastAsia="vi-VN"/>
        </w:rPr>
        <w:t>sử dụng</w:t>
      </w:r>
      <w:r w:rsidRPr="005156D9">
        <w:rPr>
          <w:rFonts w:eastAsia="Times New Roman" w:cs="Times New Roman"/>
          <w:szCs w:val="24"/>
          <w:lang w:eastAsia="vi-VN"/>
        </w:rPr>
        <w:t xml:space="preserve">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đơn theo mẫu số 01/BC-SDHĐ-CNKD ban hành kèm theo Thông tư số 92/2015/TT-BTC ngày 15/6/2015 của Bộ Tài chính và thực hiện nộp thuế giá trị gia tăng, thu nhập cá nhân phát sinh theo hóa đơn theo tháng (01 lần/tháng). Thời hạn nộp Báo cáo sử dụng hóa đơn và nộp tiền thuế chậm nhất là ngày 20 của tháng tiếp theo.</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3. Đối với thương nhân là doanh nghiệp</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 Doanh nghiệp </w:t>
      </w:r>
      <w:r w:rsidRPr="005156D9">
        <w:rPr>
          <w:rFonts w:eastAsia="Times New Roman" w:cs="Times New Roman"/>
          <w:szCs w:val="24"/>
          <w:shd w:val="solid" w:color="FFFFFF" w:fill="auto"/>
          <w:lang w:eastAsia="vi-VN"/>
        </w:rPr>
        <w:t>sử dụng</w:t>
      </w:r>
      <w:r w:rsidRPr="005156D9">
        <w:rPr>
          <w:rFonts w:eastAsia="Times New Roman" w:cs="Times New Roman"/>
          <w:szCs w:val="24"/>
          <w:lang w:eastAsia="vi-VN"/>
        </w:rPr>
        <w:t xml:space="preserve"> hóa đơn đặt in hoặc hóa đơn mua của cơ quan thuế theo quy định hiện hành, sử dụng hóa đơn điện tử theo lộ trình của cơ quan thuế và phải thực hiện chế độ sổ kế toán áp dụng đối với doanh nghiệp theo </w:t>
      </w:r>
      <w:r w:rsidRPr="005156D9">
        <w:rPr>
          <w:rFonts w:eastAsia="Times New Roman" w:cs="Times New Roman"/>
          <w:szCs w:val="24"/>
          <w:shd w:val="solid" w:color="FFFFFF" w:fill="auto"/>
          <w:lang w:eastAsia="vi-VN"/>
        </w:rPr>
        <w:t>quy định</w:t>
      </w:r>
      <w:r w:rsidRPr="005156D9">
        <w:rPr>
          <w:rFonts w:eastAsia="Times New Roman" w:cs="Times New Roman"/>
          <w:szCs w:val="24"/>
          <w:lang w:eastAsia="vi-VN"/>
        </w:rPr>
        <w:t>.</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Khi bán hàng hóa phải lập hóa đơn giao cho người mua theo quy định và phải chịu trách nhiệm về nguồn gốc hàng hóa, phải lưu giữ đủ tài liệu chứng minh nguồn gốc hàng hóa theo hướng dẫn tại Khoản 2 Điều 3 Thông tư này.</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Doanh nghiệp thực hiện nộp Báo cáo tình hình sử dụng hóa đơn (Mẫu 3.9 Phụ lục 3 ban hành kèm theo Thông tư số 39/2014/TT-BTC ngày 31/3/2014 của Bộ Tài chính) theo tháng. Thời hạn nộp Báo cáo sử dụng hóa đơn chậm nhất là ngày 20 của tháng tiếp theo.</w:t>
      </w:r>
    </w:p>
    <w:p w:rsidR="005156D9" w:rsidRPr="005156D9" w:rsidRDefault="005156D9" w:rsidP="005156D9">
      <w:pPr>
        <w:spacing w:before="120" w:after="100" w:afterAutospacing="1" w:line="240" w:lineRule="auto"/>
        <w:rPr>
          <w:rFonts w:eastAsia="Times New Roman" w:cs="Times New Roman"/>
          <w:szCs w:val="24"/>
          <w:lang w:eastAsia="vi-VN"/>
        </w:rPr>
      </w:pPr>
      <w:bookmarkStart w:id="11" w:name="dieu_5"/>
      <w:r w:rsidRPr="005156D9">
        <w:rPr>
          <w:rFonts w:eastAsia="Times New Roman" w:cs="Times New Roman"/>
          <w:b/>
          <w:bCs/>
          <w:szCs w:val="24"/>
          <w:lang w:eastAsia="vi-VN"/>
        </w:rPr>
        <w:t>Điều 5. Khai, nộp thuế</w:t>
      </w:r>
      <w:bookmarkEnd w:id="11"/>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lastRenderedPageBreak/>
        <w:t>1. Thương nhân là doanh nghiệp thuộc đối tượng áp dụng tại Thông tư này thực hiện khai và nộp thuế giá trị gia tăng theo tháng; tạm nộp thuế thu nhập doanh nghiệp theo quý và hết năm thực hiện quyết toán thuế thu nhập doanh nghiệp theo quy định tại Luật quản lý thuế và các văn bản hướng dẫn của Bộ Tài chính.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Doanh thu bán hàng hóa được xác định theo tờ khai thuế giá trị gia tăng tháng.</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2. Việc khai và nộp thuế theo phương pháp k</w:t>
      </w:r>
      <w:r w:rsidRPr="005156D9">
        <w:rPr>
          <w:rFonts w:eastAsia="Times New Roman" w:cs="Times New Roman"/>
          <w:szCs w:val="24"/>
          <w:shd w:val="solid" w:color="FFFFFF" w:fill="auto"/>
          <w:lang w:eastAsia="vi-VN"/>
        </w:rPr>
        <w:t>hoán</w:t>
      </w:r>
      <w:r w:rsidRPr="005156D9">
        <w:rPr>
          <w:rFonts w:eastAsia="Times New Roman" w:cs="Times New Roman"/>
          <w:szCs w:val="24"/>
          <w:lang w:eastAsia="vi-VN"/>
        </w:rPr>
        <w:t xml:space="preserve"> của hộ, cá nhân kinh doanh thực hiện theo Thông tư số 92/2015/TT-BTC ngày 15/6/2015 và các văn bản hướng dẫn của Bộ Tài chính.</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Doanh thu k</w:t>
      </w:r>
      <w:r w:rsidRPr="005156D9">
        <w:rPr>
          <w:rFonts w:eastAsia="Times New Roman" w:cs="Times New Roman"/>
          <w:szCs w:val="24"/>
          <w:shd w:val="solid" w:color="FFFFFF" w:fill="auto"/>
          <w:lang w:eastAsia="vi-VN"/>
        </w:rPr>
        <w:t>hoán</w:t>
      </w:r>
      <w:r w:rsidRPr="005156D9">
        <w:rPr>
          <w:rFonts w:eastAsia="Times New Roman" w:cs="Times New Roman"/>
          <w:szCs w:val="24"/>
          <w:lang w:eastAsia="vi-VN"/>
        </w:rPr>
        <w:t xml:space="preserve"> của năm tính thuế được xây dựng trên cơ sở: mức doanh thu k</w:t>
      </w:r>
      <w:r w:rsidRPr="005156D9">
        <w:rPr>
          <w:rFonts w:eastAsia="Times New Roman" w:cs="Times New Roman"/>
          <w:szCs w:val="24"/>
          <w:shd w:val="solid" w:color="FFFFFF" w:fill="auto"/>
          <w:lang w:eastAsia="vi-VN"/>
        </w:rPr>
        <w:t>hoán</w:t>
      </w:r>
      <w:r w:rsidRPr="005156D9">
        <w:rPr>
          <w:rFonts w:eastAsia="Times New Roman" w:cs="Times New Roman"/>
          <w:szCs w:val="24"/>
          <w:lang w:eastAsia="vi-VN"/>
        </w:rPr>
        <w:t xml:space="preserve"> năm trước; mức doanh thu do cá nhân tự khai; cơ sở dữ liệu của cơ quan thuế; cơ sở dữ liệu của cơ quan hải quan; dự báo tình hình tăng trưởng kinh tế và chỉ số giá; ý kiến tham vấn của Hội đồng tư vấn thuế xã, phường, thị trấn.</w:t>
      </w:r>
    </w:p>
    <w:p w:rsidR="005156D9" w:rsidRPr="005156D9" w:rsidRDefault="005156D9" w:rsidP="005156D9">
      <w:pPr>
        <w:spacing w:before="120" w:after="100" w:afterAutospacing="1" w:line="240" w:lineRule="auto"/>
        <w:rPr>
          <w:rFonts w:eastAsia="Times New Roman" w:cs="Times New Roman"/>
          <w:szCs w:val="24"/>
          <w:lang w:eastAsia="vi-VN"/>
        </w:rPr>
      </w:pPr>
      <w:bookmarkStart w:id="12" w:name="dieu_6"/>
      <w:r w:rsidRPr="005156D9">
        <w:rPr>
          <w:rFonts w:eastAsia="Times New Roman" w:cs="Times New Roman"/>
          <w:b/>
          <w:bCs/>
          <w:szCs w:val="24"/>
          <w:lang w:eastAsia="vi-VN"/>
        </w:rPr>
        <w:t>Điều 6. Quản lý thuế</w:t>
      </w:r>
      <w:bookmarkEnd w:id="12"/>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Quá trình quản lý thuế đối với thương nhân thực hiện hoạt động mua bán, trao đổi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tại chợ biên giới, chợ cửa khẩu, chợ trong Khu kinh tế cửa khẩu, cơ quan thuế phải thực hiện kiểm tra hàng tháng, việc kiểm tra tập trung vào các nội dung sau:</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 Kiểm tra đối chiếu giữa báo cáo sử dụng hóa đơn (Báo cáo sử dụng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đơn theo mẫu số 01/BC-SDHĐ-CNKD ban hành kèm theo Thông tư số 92/2015/TT-BTC ngày 15/6/2015 của Bộ Tài chính) với tình hình sử dụng hóa đơn tại hộ kinh doanh. </w:t>
      </w:r>
      <w:r w:rsidRPr="005156D9">
        <w:rPr>
          <w:rFonts w:eastAsia="Times New Roman" w:cs="Times New Roman"/>
          <w:szCs w:val="24"/>
          <w:shd w:val="solid" w:color="FFFFFF" w:fill="auto"/>
          <w:lang w:eastAsia="vi-VN"/>
        </w:rPr>
        <w:t>Trường hợp</w:t>
      </w:r>
      <w:r w:rsidRPr="005156D9">
        <w:rPr>
          <w:rFonts w:eastAsia="Times New Roman" w:cs="Times New Roman"/>
          <w:szCs w:val="24"/>
          <w:lang w:eastAsia="vi-VN"/>
        </w:rPr>
        <w:t xml:space="preserve"> kiểm tra phát hiện có hành vi bán hàng hóa không xuất hóa đơn giao cho người mua thì cơ quan thuế xử lý truy thu thuế, xử phạt về hành vi trốn thuế theo quy định của pháp luật về quản lý thuế.</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Kiểm tra giá trị hàng hóa xuất bán ghi trên hóa đơn: trường hợp tham khảo cơ sở dữ liệu về giá tham vấn của cơ quan hải quan và quy định của Luật Quản lý thuế có đủ tài liệu xác định giá trị hàng hóa xuất bán ghi trên hóa đơn không phù hợp với giá thị trường thì cơ quan thuế thực hiện ấn định giá làm căn cứ xác định số thuế giá trị gia tăng, thu nhập cá nhân, thu nhập doanh nghiệp phải nộp theo hóa đơn.</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Trường hợp kiểm tra phát hiện doanh thu bán hàng hóa nhập khẩu, chủng loại hàng hóa không phù hợp với nguồn gốc hàng hóa, giá trị hàng hóa trên Tờ khai hải quan, hoặc hàng hóa thu gom chưa làm thủ tục hải quan, chưa nộp thuế đối với hàng hóa thu mua gom thì cơ quan thuế cung cấp thông tin cho cơ quan hải quan để cơ quan hải quan xử lý truy thu thuế ở khâu nhập khẩu theo quy định.</w:t>
      </w:r>
    </w:p>
    <w:p w:rsidR="005156D9" w:rsidRPr="005156D9" w:rsidRDefault="005156D9" w:rsidP="005156D9">
      <w:pPr>
        <w:spacing w:before="120" w:after="100" w:afterAutospacing="1" w:line="240" w:lineRule="auto"/>
        <w:rPr>
          <w:rFonts w:eastAsia="Times New Roman" w:cs="Times New Roman"/>
          <w:szCs w:val="24"/>
          <w:lang w:eastAsia="vi-VN"/>
        </w:rPr>
      </w:pPr>
      <w:bookmarkStart w:id="13" w:name="dieu_7"/>
      <w:r w:rsidRPr="005156D9">
        <w:rPr>
          <w:rFonts w:eastAsia="Times New Roman" w:cs="Times New Roman"/>
          <w:b/>
          <w:bCs/>
          <w:szCs w:val="24"/>
          <w:lang w:eastAsia="vi-VN"/>
        </w:rPr>
        <w:t>Điều 7. Nguyên tắc phối hợp giữa cơ quan thuế và cơ quan hải quan</w:t>
      </w:r>
      <w:bookmarkEnd w:id="13"/>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Trong quá trình quản lý thuế cơ quan thuế thực hiện khai thác dữ liệu của cơ quan hải quan để đối chiếu với doanh thu do thương nhân xuất bán hàng hóa. Nếu qua đối chiếu thấy giá trị hàng hóa </w:t>
      </w:r>
      <w:r w:rsidRPr="005156D9">
        <w:rPr>
          <w:rFonts w:eastAsia="Times New Roman" w:cs="Times New Roman"/>
          <w:szCs w:val="24"/>
          <w:shd w:val="solid" w:color="FFFFFF" w:fill="auto"/>
          <w:lang w:eastAsia="vi-VN"/>
        </w:rPr>
        <w:t>nhập khẩu</w:t>
      </w:r>
      <w:r w:rsidRPr="005156D9">
        <w:rPr>
          <w:rFonts w:eastAsia="Times New Roman" w:cs="Times New Roman"/>
          <w:szCs w:val="24"/>
          <w:lang w:eastAsia="vi-VN"/>
        </w:rPr>
        <w:t xml:space="preserve"> và giá trị hàng hóa bán ra có dấu hiệu bất hợp lý (giá trị hàng hóa </w:t>
      </w:r>
      <w:r w:rsidRPr="005156D9">
        <w:rPr>
          <w:rFonts w:eastAsia="Times New Roman" w:cs="Times New Roman"/>
          <w:szCs w:val="24"/>
          <w:shd w:val="solid" w:color="FFFFFF" w:fill="auto"/>
          <w:lang w:eastAsia="vi-VN"/>
        </w:rPr>
        <w:t>nhập khẩu</w:t>
      </w:r>
      <w:r w:rsidRPr="005156D9">
        <w:rPr>
          <w:rFonts w:eastAsia="Times New Roman" w:cs="Times New Roman"/>
          <w:szCs w:val="24"/>
          <w:lang w:eastAsia="vi-VN"/>
        </w:rPr>
        <w:t xml:space="preserve"> lớn hơn doanh thu bán hàng hóa, hoặc doanh thu bán hàng hóa lớn nhưng giá trị hàng hóa nhập khẩu thấp) thì cơ quan thuế phối hợp cùng các cơ quan chức năng khác thực hiện kiểm tra kho hàng để xác định hàng hóa tồn kho đồng thời làm căn cứ để xác định điều chỉnh doanh thu k</w:t>
      </w:r>
      <w:r w:rsidRPr="005156D9">
        <w:rPr>
          <w:rFonts w:eastAsia="Times New Roman" w:cs="Times New Roman"/>
          <w:szCs w:val="24"/>
          <w:shd w:val="solid" w:color="FFFFFF" w:fill="auto"/>
          <w:lang w:eastAsia="vi-VN"/>
        </w:rPr>
        <w:t>hoán</w:t>
      </w:r>
      <w:r w:rsidRPr="005156D9">
        <w:rPr>
          <w:rFonts w:eastAsia="Times New Roman" w:cs="Times New Roman"/>
          <w:szCs w:val="24"/>
          <w:lang w:eastAsia="vi-VN"/>
        </w:rPr>
        <w:t xml:space="preserve"> của hộ, cá nhân kinh doanh theo quy định của pháp luật thuế và xử lý theo quy định của pháp luật có liên quan.</w:t>
      </w:r>
    </w:p>
    <w:p w:rsidR="005156D9" w:rsidRPr="005156D9" w:rsidRDefault="005156D9" w:rsidP="005156D9">
      <w:pPr>
        <w:spacing w:before="120" w:after="100" w:afterAutospacing="1" w:line="240" w:lineRule="auto"/>
        <w:rPr>
          <w:rFonts w:eastAsia="Times New Roman" w:cs="Times New Roman"/>
          <w:szCs w:val="24"/>
          <w:lang w:eastAsia="vi-VN"/>
        </w:rPr>
      </w:pPr>
      <w:bookmarkStart w:id="14" w:name="chuong_3"/>
      <w:r w:rsidRPr="005156D9">
        <w:rPr>
          <w:rFonts w:eastAsia="Times New Roman" w:cs="Times New Roman"/>
          <w:b/>
          <w:bCs/>
          <w:szCs w:val="24"/>
          <w:lang w:eastAsia="vi-VN"/>
        </w:rPr>
        <w:lastRenderedPageBreak/>
        <w:t>Phần III</w:t>
      </w:r>
      <w:bookmarkEnd w:id="14"/>
    </w:p>
    <w:p w:rsidR="005156D9" w:rsidRPr="005156D9" w:rsidRDefault="005156D9" w:rsidP="005156D9">
      <w:pPr>
        <w:spacing w:before="120" w:after="100" w:afterAutospacing="1" w:line="240" w:lineRule="auto"/>
        <w:jc w:val="center"/>
        <w:rPr>
          <w:rFonts w:eastAsia="Times New Roman" w:cs="Times New Roman"/>
          <w:szCs w:val="24"/>
          <w:lang w:eastAsia="vi-VN"/>
        </w:rPr>
      </w:pPr>
      <w:bookmarkStart w:id="15" w:name="chuong_3_name"/>
      <w:r w:rsidRPr="005156D9">
        <w:rPr>
          <w:rFonts w:eastAsia="Times New Roman" w:cs="Times New Roman"/>
          <w:b/>
          <w:bCs/>
          <w:szCs w:val="24"/>
          <w:lang w:eastAsia="vi-VN"/>
        </w:rPr>
        <w:t>TỔ CHỨC THỰC HIỆN</w:t>
      </w:r>
      <w:bookmarkEnd w:id="15"/>
    </w:p>
    <w:p w:rsidR="005156D9" w:rsidRPr="005156D9" w:rsidRDefault="005156D9" w:rsidP="005156D9">
      <w:pPr>
        <w:spacing w:before="120" w:after="100" w:afterAutospacing="1" w:line="240" w:lineRule="auto"/>
        <w:rPr>
          <w:rFonts w:eastAsia="Times New Roman" w:cs="Times New Roman"/>
          <w:szCs w:val="24"/>
          <w:lang w:eastAsia="vi-VN"/>
        </w:rPr>
      </w:pPr>
      <w:bookmarkStart w:id="16" w:name="dieu_8"/>
      <w:r w:rsidRPr="005156D9">
        <w:rPr>
          <w:rFonts w:eastAsia="Times New Roman" w:cs="Times New Roman"/>
          <w:b/>
          <w:bCs/>
          <w:szCs w:val="24"/>
          <w:lang w:eastAsia="vi-VN"/>
        </w:rPr>
        <w:t>Điều 8. Hiệu lực thi hành</w:t>
      </w:r>
      <w:bookmarkEnd w:id="16"/>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1. Thông tư này có hiệu lực sau 45 ngày kể từ ngày ký.</w:t>
      </w:r>
    </w:p>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xml:space="preserve">2. Các nội dung khác về quản lý hóa đơn, quản lý thu thuế đối với thương nhân có hoạt động mua bán, trao đổi hàng </w:t>
      </w:r>
      <w:r w:rsidRPr="005156D9">
        <w:rPr>
          <w:rFonts w:eastAsia="Times New Roman" w:cs="Times New Roman"/>
          <w:szCs w:val="24"/>
          <w:shd w:val="solid" w:color="FFFFFF" w:fill="auto"/>
          <w:lang w:eastAsia="vi-VN"/>
        </w:rPr>
        <w:t>hóa</w:t>
      </w:r>
      <w:r w:rsidRPr="005156D9">
        <w:rPr>
          <w:rFonts w:eastAsia="Times New Roman" w:cs="Times New Roman"/>
          <w:szCs w:val="24"/>
          <w:lang w:eastAsia="vi-VN"/>
        </w:rPr>
        <w:t xml:space="preserve"> tại chợ biên giới, chợ cửa khẩu, chợ trong Khu kinh tế cửa khẩu không được hướng dẫn tại Thông tư này vẫn được thực hiện theo văn bản quy phạm pháp luật có hiệu lực.</w:t>
      </w:r>
    </w:p>
    <w:p w:rsidR="005156D9" w:rsidRPr="005156D9" w:rsidRDefault="005156D9" w:rsidP="005156D9">
      <w:pPr>
        <w:spacing w:before="120" w:after="100" w:afterAutospacing="1" w:line="240" w:lineRule="auto"/>
        <w:rPr>
          <w:rFonts w:eastAsia="Times New Roman" w:cs="Times New Roman"/>
          <w:szCs w:val="24"/>
          <w:lang w:val="en-US" w:eastAsia="vi-VN"/>
        </w:rPr>
      </w:pPr>
      <w:bookmarkStart w:id="17" w:name="dieu_9"/>
      <w:r w:rsidRPr="005156D9">
        <w:rPr>
          <w:rFonts w:eastAsia="Times New Roman" w:cs="Times New Roman"/>
          <w:b/>
          <w:bCs/>
          <w:szCs w:val="24"/>
          <w:lang w:val="en-US" w:eastAsia="vi-VN"/>
        </w:rPr>
        <w:t>Điều 9. Trách nhiệm thi hành</w:t>
      </w:r>
      <w:bookmarkEnd w:id="17"/>
    </w:p>
    <w:p w:rsidR="005156D9" w:rsidRPr="005156D9" w:rsidRDefault="005156D9" w:rsidP="005156D9">
      <w:pPr>
        <w:spacing w:before="120" w:after="100" w:afterAutospacing="1" w:line="240" w:lineRule="auto"/>
        <w:rPr>
          <w:rFonts w:eastAsia="Times New Roman" w:cs="Times New Roman"/>
          <w:szCs w:val="24"/>
          <w:lang w:val="en-US" w:eastAsia="vi-VN"/>
        </w:rPr>
      </w:pPr>
      <w:r w:rsidRPr="005156D9">
        <w:rPr>
          <w:rFonts w:eastAsia="Times New Roman" w:cs="Times New Roman"/>
          <w:szCs w:val="24"/>
          <w:lang w:eastAsia="vi-VN"/>
        </w:rPr>
        <w:t xml:space="preserve">1. </w:t>
      </w:r>
      <w:r w:rsidRPr="005156D9">
        <w:rPr>
          <w:rFonts w:eastAsia="Times New Roman" w:cs="Times New Roman"/>
          <w:szCs w:val="24"/>
          <w:shd w:val="solid" w:color="FFFFFF" w:fill="auto"/>
          <w:lang w:eastAsia="vi-VN"/>
        </w:rPr>
        <w:t>Ủy ban</w:t>
      </w:r>
      <w:r w:rsidRPr="005156D9">
        <w:rPr>
          <w:rFonts w:eastAsia="Times New Roman" w:cs="Times New Roman"/>
          <w:szCs w:val="24"/>
          <w:lang w:eastAsia="vi-VN"/>
        </w:rPr>
        <w:t xml:space="preserve"> nhân dân các tỉnh, thành phố trực thuộc Trung ương chỉ đạo các cơ quan chức năng tổ chức thực hiện đúng theo quy định tại Quyết định số 52/2015/QĐ-TTg của Thủ tướng Chính phủ và hướng dẫn của Bộ Tài chính.</w:t>
      </w:r>
    </w:p>
    <w:p w:rsidR="005156D9" w:rsidRPr="005156D9" w:rsidRDefault="005156D9" w:rsidP="005156D9">
      <w:pPr>
        <w:spacing w:before="120" w:after="100" w:afterAutospacing="1" w:line="240" w:lineRule="auto"/>
        <w:rPr>
          <w:rFonts w:eastAsia="Times New Roman" w:cs="Times New Roman"/>
          <w:szCs w:val="24"/>
          <w:lang w:val="en-US" w:eastAsia="vi-VN"/>
        </w:rPr>
      </w:pPr>
      <w:r w:rsidRPr="005156D9">
        <w:rPr>
          <w:rFonts w:eastAsia="Times New Roman" w:cs="Times New Roman"/>
          <w:szCs w:val="24"/>
          <w:lang w:eastAsia="vi-VN"/>
        </w:rPr>
        <w:t>2. Cơ quan thuế các cấp có trách nhiệm, phổ biến, hướng dẫn các tổ chức, cá nhân thực hiện theo nội dung Thông tư này.</w:t>
      </w:r>
    </w:p>
    <w:p w:rsidR="005156D9" w:rsidRPr="005156D9" w:rsidRDefault="005156D9" w:rsidP="005156D9">
      <w:pPr>
        <w:spacing w:before="120" w:after="100" w:afterAutospacing="1" w:line="240" w:lineRule="auto"/>
        <w:rPr>
          <w:rFonts w:eastAsia="Times New Roman" w:cs="Times New Roman"/>
          <w:szCs w:val="24"/>
          <w:lang w:val="en-US" w:eastAsia="vi-VN"/>
        </w:rPr>
      </w:pPr>
      <w:r w:rsidRPr="005156D9">
        <w:rPr>
          <w:rFonts w:eastAsia="Times New Roman" w:cs="Times New Roman"/>
          <w:szCs w:val="24"/>
          <w:lang w:eastAsia="vi-VN"/>
        </w:rPr>
        <w:t>3. Tổ chức, cá nhân thuộc đối tượng điều chỉnh của Thông tư này thực hiện theo hướng dẫn tại Thông tư này.</w:t>
      </w:r>
    </w:p>
    <w:p w:rsidR="005156D9" w:rsidRPr="005156D9" w:rsidRDefault="005156D9" w:rsidP="005156D9">
      <w:pPr>
        <w:spacing w:before="120" w:after="100" w:afterAutospacing="1" w:line="240" w:lineRule="auto"/>
        <w:rPr>
          <w:rFonts w:eastAsia="Times New Roman" w:cs="Times New Roman"/>
          <w:szCs w:val="24"/>
          <w:lang w:val="en-US" w:eastAsia="vi-VN"/>
        </w:rPr>
      </w:pPr>
      <w:r w:rsidRPr="005156D9">
        <w:rPr>
          <w:rFonts w:eastAsia="Times New Roman" w:cs="Times New Roman"/>
          <w:szCs w:val="24"/>
          <w:lang w:eastAsia="vi-VN"/>
        </w:rPr>
        <w:t>Trong quá trình thực hiện nếu có vướng mắc, đề nghị các tổ chức, c</w:t>
      </w:r>
      <w:r w:rsidRPr="005156D9">
        <w:rPr>
          <w:rFonts w:eastAsia="Times New Roman" w:cs="Times New Roman"/>
          <w:szCs w:val="24"/>
          <w:lang w:val="en-US" w:eastAsia="vi-VN"/>
        </w:rPr>
        <w:t xml:space="preserve">á </w:t>
      </w:r>
      <w:r w:rsidRPr="005156D9">
        <w:rPr>
          <w:rFonts w:eastAsia="Times New Roman" w:cs="Times New Roman"/>
          <w:szCs w:val="24"/>
          <w:lang w:eastAsia="vi-VN"/>
        </w:rPr>
        <w:t>nhân phản ánh về Bộ Tài chính để được giải quyết kịp thời./.</w:t>
      </w:r>
    </w:p>
    <w:p w:rsidR="005156D9" w:rsidRPr="005156D9" w:rsidRDefault="005156D9" w:rsidP="005156D9">
      <w:pPr>
        <w:spacing w:before="120" w:after="100" w:afterAutospacing="1" w:line="240" w:lineRule="auto"/>
        <w:rPr>
          <w:rFonts w:eastAsia="Times New Roman" w:cs="Times New Roman"/>
          <w:szCs w:val="24"/>
          <w:lang w:val="en-US" w:eastAsia="vi-VN"/>
        </w:rPr>
      </w:pPr>
      <w:r w:rsidRPr="005156D9">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5156D9" w:rsidRPr="005156D9" w:rsidTr="005156D9">
        <w:tc>
          <w:tcPr>
            <w:tcW w:w="4428" w:type="dxa"/>
            <w:tcBorders>
              <w:top w:val="nil"/>
              <w:left w:val="nil"/>
              <w:bottom w:val="nil"/>
              <w:right w:val="nil"/>
            </w:tcBorders>
            <w:tcMar>
              <w:top w:w="0" w:type="dxa"/>
              <w:left w:w="108" w:type="dxa"/>
              <w:bottom w:w="0" w:type="dxa"/>
              <w:right w:w="108" w:type="dxa"/>
            </w:tcMar>
            <w:hideMark/>
          </w:tcPr>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b/>
                <w:bCs/>
                <w:i/>
                <w:iCs/>
                <w:sz w:val="16"/>
                <w:szCs w:val="24"/>
                <w:lang w:eastAsia="vi-VN"/>
              </w:rPr>
              <w:t> </w:t>
            </w:r>
          </w:p>
          <w:p w:rsidR="005156D9" w:rsidRPr="005156D9" w:rsidRDefault="005156D9" w:rsidP="005156D9">
            <w:pPr>
              <w:spacing w:before="120" w:after="0" w:line="240" w:lineRule="auto"/>
              <w:rPr>
                <w:rFonts w:eastAsia="Times New Roman" w:cs="Times New Roman"/>
                <w:szCs w:val="24"/>
                <w:lang w:eastAsia="vi-VN"/>
              </w:rPr>
            </w:pPr>
            <w:r w:rsidRPr="005156D9">
              <w:rPr>
                <w:rFonts w:eastAsia="Times New Roman" w:cs="Times New Roman"/>
                <w:b/>
                <w:bCs/>
                <w:i/>
                <w:iCs/>
                <w:szCs w:val="24"/>
                <w:lang w:eastAsia="vi-VN"/>
              </w:rPr>
              <w:t>Nơi nhận:</w:t>
            </w:r>
            <w:r w:rsidRPr="005156D9">
              <w:rPr>
                <w:rFonts w:eastAsia="Times New Roman" w:cs="Times New Roman"/>
                <w:b/>
                <w:bCs/>
                <w:i/>
                <w:iCs/>
                <w:szCs w:val="24"/>
                <w:lang w:eastAsia="vi-VN"/>
              </w:rPr>
              <w:br/>
            </w:r>
            <w:r w:rsidRPr="005156D9">
              <w:rPr>
                <w:rFonts w:eastAsia="Times New Roman" w:cs="Times New Roman"/>
                <w:sz w:val="16"/>
                <w:szCs w:val="24"/>
                <w:lang w:eastAsia="vi-VN"/>
              </w:rPr>
              <w:t xml:space="preserve">- </w:t>
            </w:r>
            <w:r w:rsidRPr="005156D9">
              <w:rPr>
                <w:rFonts w:eastAsia="Times New Roman" w:cs="Times New Roman"/>
                <w:sz w:val="16"/>
                <w:szCs w:val="24"/>
                <w:shd w:val="solid" w:color="FFFFFF" w:fill="auto"/>
                <w:lang w:eastAsia="vi-VN"/>
              </w:rPr>
              <w:t>Văn</w:t>
            </w:r>
            <w:r w:rsidRPr="005156D9">
              <w:rPr>
                <w:rFonts w:eastAsia="Times New Roman" w:cs="Times New Roman"/>
                <w:sz w:val="16"/>
                <w:szCs w:val="24"/>
                <w:lang w:eastAsia="vi-VN"/>
              </w:rPr>
              <w:t xml:space="preserve"> phòng Trung ương và các Ban của Đảng;</w:t>
            </w:r>
            <w:r w:rsidRPr="005156D9">
              <w:rPr>
                <w:rFonts w:eastAsia="Times New Roman" w:cs="Times New Roman"/>
                <w:sz w:val="16"/>
                <w:szCs w:val="24"/>
                <w:lang w:eastAsia="vi-VN"/>
              </w:rPr>
              <w:br/>
              <w:t>- Văn phòng Quốc hội;</w:t>
            </w:r>
            <w:r w:rsidRPr="005156D9">
              <w:rPr>
                <w:rFonts w:eastAsia="Times New Roman" w:cs="Times New Roman"/>
                <w:sz w:val="16"/>
                <w:szCs w:val="24"/>
                <w:lang w:eastAsia="vi-VN"/>
              </w:rPr>
              <w:br/>
              <w:t xml:space="preserve">- </w:t>
            </w:r>
            <w:r w:rsidRPr="005156D9">
              <w:rPr>
                <w:rFonts w:eastAsia="Times New Roman" w:cs="Times New Roman"/>
                <w:sz w:val="16"/>
                <w:szCs w:val="24"/>
                <w:shd w:val="solid" w:color="FFFFFF" w:fill="auto"/>
                <w:lang w:eastAsia="vi-VN"/>
              </w:rPr>
              <w:t>Văn</w:t>
            </w:r>
            <w:r w:rsidRPr="005156D9">
              <w:rPr>
                <w:rFonts w:eastAsia="Times New Roman" w:cs="Times New Roman"/>
                <w:sz w:val="16"/>
                <w:szCs w:val="24"/>
                <w:lang w:eastAsia="vi-VN"/>
              </w:rPr>
              <w:t xml:space="preserve"> phòng Chủ tịch nước;</w:t>
            </w:r>
            <w:r w:rsidRPr="005156D9">
              <w:rPr>
                <w:rFonts w:eastAsia="Times New Roman" w:cs="Times New Roman"/>
                <w:sz w:val="16"/>
                <w:szCs w:val="24"/>
                <w:lang w:eastAsia="vi-VN"/>
              </w:rPr>
              <w:br/>
              <w:t>- Văn phòng Tổng Bí thư;</w:t>
            </w:r>
            <w:r w:rsidRPr="005156D9">
              <w:rPr>
                <w:rFonts w:eastAsia="Times New Roman" w:cs="Times New Roman"/>
                <w:sz w:val="16"/>
                <w:szCs w:val="24"/>
                <w:lang w:eastAsia="vi-VN"/>
              </w:rPr>
              <w:br/>
              <w:t>- Viện Kiểm sát nhân dân tối cao;</w:t>
            </w:r>
            <w:r w:rsidRPr="005156D9">
              <w:rPr>
                <w:rFonts w:eastAsia="Times New Roman" w:cs="Times New Roman"/>
                <w:sz w:val="16"/>
                <w:szCs w:val="24"/>
                <w:lang w:eastAsia="vi-VN"/>
              </w:rPr>
              <w:br/>
              <w:t>- Văn phòng BCĐ phòng chống tham nhũng Trung ương;</w:t>
            </w:r>
            <w:r w:rsidRPr="005156D9">
              <w:rPr>
                <w:rFonts w:eastAsia="Times New Roman" w:cs="Times New Roman"/>
                <w:sz w:val="16"/>
                <w:szCs w:val="24"/>
                <w:lang w:eastAsia="vi-VN"/>
              </w:rPr>
              <w:br/>
              <w:t>- Tòa án nhân dân tối cao;</w:t>
            </w:r>
            <w:r w:rsidRPr="005156D9">
              <w:rPr>
                <w:rFonts w:eastAsia="Times New Roman" w:cs="Times New Roman"/>
                <w:sz w:val="16"/>
                <w:szCs w:val="24"/>
                <w:lang w:eastAsia="vi-VN"/>
              </w:rPr>
              <w:br/>
              <w:t>- Kiểm toán nhà nước;</w:t>
            </w:r>
            <w:r w:rsidRPr="005156D9">
              <w:rPr>
                <w:rFonts w:eastAsia="Times New Roman" w:cs="Times New Roman"/>
                <w:sz w:val="16"/>
                <w:szCs w:val="24"/>
                <w:lang w:eastAsia="vi-VN"/>
              </w:rPr>
              <w:br/>
              <w:t>- Các Bộ, cơ quan ngang Bộ, cơ quan thuộc Chính phủ;</w:t>
            </w:r>
            <w:r w:rsidRPr="005156D9">
              <w:rPr>
                <w:rFonts w:eastAsia="Times New Roman" w:cs="Times New Roman"/>
                <w:sz w:val="16"/>
                <w:szCs w:val="24"/>
                <w:lang w:eastAsia="vi-VN"/>
              </w:rPr>
              <w:br/>
              <w:t>- Cơ quan Trung ương của các đoàn thể;</w:t>
            </w:r>
            <w:r w:rsidRPr="005156D9">
              <w:rPr>
                <w:rFonts w:eastAsia="Times New Roman" w:cs="Times New Roman"/>
                <w:sz w:val="16"/>
                <w:szCs w:val="24"/>
                <w:lang w:eastAsia="vi-VN"/>
              </w:rPr>
              <w:br/>
              <w:t xml:space="preserve">- Hội đồng nhân dân, </w:t>
            </w:r>
            <w:r w:rsidRPr="005156D9">
              <w:rPr>
                <w:rFonts w:eastAsia="Times New Roman" w:cs="Times New Roman"/>
                <w:sz w:val="16"/>
                <w:szCs w:val="24"/>
                <w:shd w:val="solid" w:color="FFFFFF" w:fill="auto"/>
                <w:lang w:eastAsia="vi-VN"/>
              </w:rPr>
              <w:t>Ủy ban</w:t>
            </w:r>
            <w:r w:rsidRPr="005156D9">
              <w:rPr>
                <w:rFonts w:eastAsia="Times New Roman" w:cs="Times New Roman"/>
                <w:sz w:val="16"/>
                <w:szCs w:val="24"/>
                <w:lang w:eastAsia="vi-VN"/>
              </w:rPr>
              <w:t xml:space="preserve"> nhân dân, Sở Tài chính, Cục Thuế, Kho bạc nhà nước các tỉnh, thành phố trực thuộc Trung ương;</w:t>
            </w:r>
            <w:r w:rsidRPr="005156D9">
              <w:rPr>
                <w:rFonts w:eastAsia="Times New Roman" w:cs="Times New Roman"/>
                <w:sz w:val="16"/>
                <w:szCs w:val="24"/>
                <w:lang w:eastAsia="vi-VN"/>
              </w:rPr>
              <w:br/>
              <w:t>- Công báo;</w:t>
            </w:r>
            <w:r w:rsidRPr="005156D9">
              <w:rPr>
                <w:rFonts w:eastAsia="Times New Roman" w:cs="Times New Roman"/>
                <w:sz w:val="16"/>
                <w:szCs w:val="24"/>
                <w:lang w:eastAsia="vi-VN"/>
              </w:rPr>
              <w:br/>
              <w:t xml:space="preserve">- Cục Kiểm tra </w:t>
            </w:r>
            <w:r w:rsidRPr="005156D9">
              <w:rPr>
                <w:rFonts w:eastAsia="Times New Roman" w:cs="Times New Roman"/>
                <w:sz w:val="16"/>
                <w:szCs w:val="24"/>
                <w:shd w:val="solid" w:color="FFFFFF" w:fill="auto"/>
                <w:lang w:eastAsia="vi-VN"/>
              </w:rPr>
              <w:t>văn</w:t>
            </w:r>
            <w:r w:rsidRPr="005156D9">
              <w:rPr>
                <w:rFonts w:eastAsia="Times New Roman" w:cs="Times New Roman"/>
                <w:sz w:val="16"/>
                <w:szCs w:val="24"/>
                <w:lang w:eastAsia="vi-VN"/>
              </w:rPr>
              <w:t xml:space="preserve"> bản (Bộ Tư pháp);</w:t>
            </w:r>
            <w:r w:rsidRPr="005156D9">
              <w:rPr>
                <w:rFonts w:eastAsia="Times New Roman" w:cs="Times New Roman"/>
                <w:sz w:val="16"/>
                <w:szCs w:val="24"/>
                <w:lang w:eastAsia="vi-VN"/>
              </w:rPr>
              <w:br/>
              <w:t>- Website Chính phủ;</w:t>
            </w:r>
            <w:r w:rsidRPr="005156D9">
              <w:rPr>
                <w:rFonts w:eastAsia="Times New Roman" w:cs="Times New Roman"/>
                <w:sz w:val="16"/>
                <w:szCs w:val="24"/>
                <w:lang w:eastAsia="vi-VN"/>
              </w:rPr>
              <w:br/>
              <w:t>- Website Bộ Tài chính; Website Tổng cục Thuế;</w:t>
            </w:r>
            <w:r w:rsidRPr="005156D9">
              <w:rPr>
                <w:rFonts w:eastAsia="Times New Roman" w:cs="Times New Roman"/>
                <w:sz w:val="16"/>
                <w:szCs w:val="24"/>
                <w:lang w:eastAsia="vi-VN"/>
              </w:rPr>
              <w:br/>
              <w:t xml:space="preserve">- Các </w:t>
            </w:r>
            <w:r w:rsidRPr="005156D9">
              <w:rPr>
                <w:rFonts w:eastAsia="Times New Roman" w:cs="Times New Roman"/>
                <w:sz w:val="16"/>
                <w:szCs w:val="24"/>
                <w:shd w:val="solid" w:color="FFFFFF" w:fill="auto"/>
                <w:lang w:eastAsia="vi-VN"/>
              </w:rPr>
              <w:t>đơn vị</w:t>
            </w:r>
            <w:r w:rsidRPr="005156D9">
              <w:rPr>
                <w:rFonts w:eastAsia="Times New Roman" w:cs="Times New Roman"/>
                <w:sz w:val="16"/>
                <w:szCs w:val="24"/>
                <w:lang w:eastAsia="vi-VN"/>
              </w:rPr>
              <w:t xml:space="preserve"> thuộc Bộ Tài chính;</w:t>
            </w:r>
            <w:r w:rsidRPr="005156D9">
              <w:rPr>
                <w:rFonts w:eastAsia="Times New Roman" w:cs="Times New Roman"/>
                <w:sz w:val="16"/>
                <w:szCs w:val="24"/>
                <w:lang w:eastAsia="vi-VN"/>
              </w:rPr>
              <w:br/>
              <w:t>- Lưu: VT, TCT (VT, CS).</w:t>
            </w:r>
          </w:p>
        </w:tc>
        <w:tc>
          <w:tcPr>
            <w:tcW w:w="4428" w:type="dxa"/>
            <w:tcBorders>
              <w:top w:val="nil"/>
              <w:left w:val="nil"/>
              <w:bottom w:val="nil"/>
              <w:right w:val="nil"/>
            </w:tcBorders>
            <w:tcMar>
              <w:top w:w="0" w:type="dxa"/>
              <w:left w:w="108" w:type="dxa"/>
              <w:bottom w:w="0" w:type="dxa"/>
              <w:right w:w="108" w:type="dxa"/>
            </w:tcMar>
            <w:hideMark/>
          </w:tcPr>
          <w:p w:rsidR="005156D9" w:rsidRPr="005156D9" w:rsidRDefault="005156D9" w:rsidP="005156D9">
            <w:pPr>
              <w:spacing w:before="120" w:after="0" w:line="240" w:lineRule="auto"/>
              <w:jc w:val="center"/>
              <w:rPr>
                <w:rFonts w:eastAsia="Times New Roman" w:cs="Times New Roman"/>
                <w:szCs w:val="24"/>
                <w:lang w:eastAsia="vi-VN"/>
              </w:rPr>
            </w:pPr>
            <w:r w:rsidRPr="005156D9">
              <w:rPr>
                <w:rFonts w:eastAsia="Times New Roman" w:cs="Times New Roman"/>
                <w:b/>
                <w:bCs/>
                <w:szCs w:val="24"/>
                <w:lang w:eastAsia="vi-VN"/>
              </w:rPr>
              <w:t>KT. BỘ TRƯỞNG</w:t>
            </w:r>
            <w:r w:rsidRPr="005156D9">
              <w:rPr>
                <w:rFonts w:eastAsia="Times New Roman" w:cs="Times New Roman"/>
                <w:b/>
                <w:bCs/>
                <w:szCs w:val="24"/>
                <w:lang w:eastAsia="vi-VN"/>
              </w:rPr>
              <w:br/>
              <w:t>THỨ TRƯỞNG</w:t>
            </w:r>
            <w:r w:rsidRPr="005156D9">
              <w:rPr>
                <w:rFonts w:eastAsia="Times New Roman" w:cs="Times New Roman"/>
                <w:b/>
                <w:bCs/>
                <w:szCs w:val="24"/>
                <w:lang w:eastAsia="vi-VN"/>
              </w:rPr>
              <w:br/>
            </w:r>
            <w:r w:rsidRPr="005156D9">
              <w:rPr>
                <w:rFonts w:eastAsia="Times New Roman" w:cs="Times New Roman"/>
                <w:b/>
                <w:bCs/>
                <w:szCs w:val="24"/>
                <w:lang w:eastAsia="vi-VN"/>
              </w:rPr>
              <w:br/>
            </w:r>
            <w:r w:rsidRPr="005156D9">
              <w:rPr>
                <w:rFonts w:eastAsia="Times New Roman" w:cs="Times New Roman"/>
                <w:b/>
                <w:bCs/>
                <w:szCs w:val="24"/>
                <w:lang w:eastAsia="vi-VN"/>
              </w:rPr>
              <w:br/>
            </w:r>
            <w:r w:rsidRPr="005156D9">
              <w:rPr>
                <w:rFonts w:eastAsia="Times New Roman" w:cs="Times New Roman"/>
                <w:b/>
                <w:bCs/>
                <w:szCs w:val="24"/>
                <w:lang w:eastAsia="vi-VN"/>
              </w:rPr>
              <w:br/>
            </w:r>
            <w:r w:rsidRPr="005156D9">
              <w:rPr>
                <w:rFonts w:eastAsia="Times New Roman" w:cs="Times New Roman"/>
                <w:b/>
                <w:bCs/>
                <w:szCs w:val="24"/>
                <w:lang w:eastAsia="vi-VN"/>
              </w:rPr>
              <w:br/>
              <w:t>Đỗ Hoàng Anh Tuấn</w:t>
            </w:r>
          </w:p>
        </w:tc>
      </w:tr>
    </w:tbl>
    <w:p w:rsidR="005156D9" w:rsidRPr="005156D9" w:rsidRDefault="005156D9" w:rsidP="005156D9">
      <w:pPr>
        <w:spacing w:before="120" w:after="100" w:afterAutospacing="1" w:line="240" w:lineRule="auto"/>
        <w:rPr>
          <w:rFonts w:eastAsia="Times New Roman" w:cs="Times New Roman"/>
          <w:szCs w:val="24"/>
          <w:lang w:eastAsia="vi-VN"/>
        </w:rPr>
      </w:pPr>
      <w:r w:rsidRPr="005156D9">
        <w:rPr>
          <w:rFonts w:eastAsia="Times New Roman" w:cs="Times New Roman"/>
          <w:szCs w:val="24"/>
          <w:lang w:eastAsia="vi-VN"/>
        </w:rPr>
        <w:t> </w:t>
      </w:r>
    </w:p>
    <w:p w:rsidR="00F1132A" w:rsidRPr="005156D9" w:rsidRDefault="00F1132A" w:rsidP="005156D9">
      <w:bookmarkStart w:id="18" w:name="_GoBack"/>
      <w:bookmarkEnd w:id="18"/>
    </w:p>
    <w:sectPr w:rsidR="00F1132A" w:rsidRPr="005156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710" w:rsidRDefault="008D2710" w:rsidP="00BC20A2">
      <w:pPr>
        <w:spacing w:after="0" w:line="240" w:lineRule="auto"/>
      </w:pPr>
      <w:r>
        <w:separator/>
      </w:r>
    </w:p>
  </w:endnote>
  <w:endnote w:type="continuationSeparator" w:id="0">
    <w:p w:rsidR="008D2710" w:rsidRDefault="008D2710"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710" w:rsidRDefault="008D2710" w:rsidP="00BC20A2">
      <w:pPr>
        <w:spacing w:after="0" w:line="240" w:lineRule="auto"/>
      </w:pPr>
      <w:r>
        <w:separator/>
      </w:r>
    </w:p>
  </w:footnote>
  <w:footnote w:type="continuationSeparator" w:id="0">
    <w:p w:rsidR="008D2710" w:rsidRDefault="008D2710"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414B46"/>
    <w:rsid w:val="004404FD"/>
    <w:rsid w:val="0046340F"/>
    <w:rsid w:val="005156D9"/>
    <w:rsid w:val="0053030B"/>
    <w:rsid w:val="005B3954"/>
    <w:rsid w:val="00870B23"/>
    <w:rsid w:val="0088376F"/>
    <w:rsid w:val="008D2710"/>
    <w:rsid w:val="00AA0AC0"/>
    <w:rsid w:val="00AC7ADE"/>
    <w:rsid w:val="00BC20A2"/>
    <w:rsid w:val="00BD1417"/>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2017-11-18T01:35:00Z</dcterms:created>
  <dcterms:modified xsi:type="dcterms:W3CDTF">2017-11-18T01:35:00Z</dcterms:modified>
</cp:coreProperties>
</file>